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left="0" w:leftChars="0" w:firstLine="0" w:firstLineChars="0"/>
        <w:jc w:val="left"/>
        <w:rPr>
          <w:rFonts w:ascii="宋体" w:hAnsi="宋体" w:eastAsia="宋体" w:cs="宋体"/>
          <w:color w:val="000000" w:themeColor="text1"/>
          <w:spacing w:val="-12"/>
          <w:szCs w:val="28"/>
          <w14:textFill>
            <w14:solidFill>
              <w14:schemeClr w14:val="tx1"/>
            </w14:solidFill>
          </w14:textFill>
        </w:rPr>
      </w:pPr>
      <w:r>
        <w:rPr>
          <w:rFonts w:hint="eastAsia" w:ascii="宋体" w:hAnsi="宋体" w:eastAsia="宋体" w:cs="宋体"/>
          <w:color w:val="000000" w:themeColor="text1"/>
          <w:spacing w:val="-12"/>
          <w:szCs w:val="28"/>
          <w14:textFill>
            <w14:solidFill>
              <w14:schemeClr w14:val="tx1"/>
            </w14:solidFill>
          </w14:textFill>
        </w:rPr>
        <w:t>附件</w:t>
      </w:r>
      <w:r>
        <w:rPr>
          <w:rFonts w:hint="eastAsia" w:ascii="宋体" w:hAnsi="宋体" w:eastAsia="宋体" w:cs="宋体"/>
          <w:color w:val="000000" w:themeColor="text1"/>
          <w:spacing w:val="-12"/>
          <w:szCs w:val="28"/>
          <w:lang w:val="en-US" w:eastAsia="zh-CN"/>
          <w14:textFill>
            <w14:solidFill>
              <w14:schemeClr w14:val="tx1"/>
            </w14:solidFill>
          </w14:textFill>
        </w:rPr>
        <w:t>一</w:t>
      </w:r>
      <w:r>
        <w:rPr>
          <w:rFonts w:hint="eastAsia" w:ascii="宋体" w:hAnsi="宋体" w:eastAsia="宋体" w:cs="宋体"/>
          <w:color w:val="000000" w:themeColor="text1"/>
          <w:spacing w:val="-12"/>
          <w:szCs w:val="28"/>
          <w14:textFill>
            <w14:solidFill>
              <w14:schemeClr w14:val="tx1"/>
            </w14:solidFill>
          </w14:textFill>
        </w:rPr>
        <w:t xml:space="preserve">： </w:t>
      </w:r>
    </w:p>
    <w:p>
      <w:pPr>
        <w:spacing w:line="460" w:lineRule="exact"/>
        <w:ind w:firstLine="643" w:firstLineChars="200"/>
        <w:jc w:val="center"/>
        <w:rPr>
          <w:rFonts w:hint="eastAsia" w:ascii="Calibri" w:hAnsi="Calibri" w:eastAsia="宋体" w:cs="Times New Roman"/>
          <w:b/>
          <w:bCs/>
          <w:color w:val="000000" w:themeColor="text1"/>
          <w:sz w:val="32"/>
          <w:szCs w:val="32"/>
          <w:lang w:val="en-US" w:eastAsia="zh-CN"/>
          <w14:textFill>
            <w14:solidFill>
              <w14:schemeClr w14:val="tx1"/>
            </w14:solidFill>
          </w14:textFill>
        </w:rPr>
      </w:pPr>
      <w:r>
        <w:rPr>
          <w:rFonts w:hint="eastAsia" w:ascii="Calibri" w:hAnsi="Calibri" w:eastAsia="宋体" w:cs="Times New Roman"/>
          <w:b/>
          <w:bCs/>
          <w:color w:val="000000" w:themeColor="text1"/>
          <w:sz w:val="32"/>
          <w:szCs w:val="32"/>
          <w:lang w:val="en-US" w:eastAsia="zh-CN"/>
          <w14:textFill>
            <w14:solidFill>
              <w14:schemeClr w14:val="tx1"/>
            </w14:solidFill>
          </w14:textFill>
        </w:rPr>
        <w:t>冶金高评委填写及提交申报材料要求</w:t>
      </w:r>
    </w:p>
    <w:p>
      <w:pPr>
        <w:spacing w:line="460" w:lineRule="exact"/>
        <w:ind w:firstLine="643" w:firstLineChars="200"/>
        <w:jc w:val="center"/>
        <w:rPr>
          <w:rFonts w:hint="eastAsia" w:ascii="Calibri" w:hAnsi="Calibri" w:eastAsia="宋体" w:cs="Times New Roman"/>
          <w:b/>
          <w:bCs/>
          <w:color w:val="000000" w:themeColor="text1"/>
          <w:sz w:val="32"/>
          <w:szCs w:val="32"/>
          <w:lang w:val="en-US" w:eastAsia="zh-CN"/>
          <w14:textFill>
            <w14:solidFill>
              <w14:schemeClr w14:val="tx1"/>
            </w14:solidFill>
          </w14:textFill>
        </w:rPr>
      </w:pPr>
    </w:p>
    <w:tbl>
      <w:tblPr>
        <w:tblStyle w:val="5"/>
        <w:tblW w:w="9417"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44"/>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006" w:type="dxa"/>
            <w:vAlign w:val="center"/>
          </w:tcPr>
          <w:p>
            <w:pPr>
              <w:spacing w:line="460" w:lineRule="exact"/>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序号</w:t>
            </w:r>
          </w:p>
        </w:tc>
        <w:tc>
          <w:tcPr>
            <w:tcW w:w="2044" w:type="dxa"/>
            <w:vAlign w:val="center"/>
          </w:tcPr>
          <w:p>
            <w:pPr>
              <w:spacing w:line="460" w:lineRule="exact"/>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栏目/事项</w:t>
            </w:r>
          </w:p>
        </w:tc>
        <w:tc>
          <w:tcPr>
            <w:tcW w:w="6367" w:type="dxa"/>
            <w:vAlign w:val="center"/>
          </w:tcPr>
          <w:p>
            <w:pPr>
              <w:spacing w:line="460" w:lineRule="exact"/>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填报要点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附件格式</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提交的</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所有附件</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应加盖单位</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组织人事章</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并</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彩色</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扫描为</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PDF</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“基本信息”栏</w:t>
            </w:r>
          </w:p>
        </w:tc>
        <w:tc>
          <w:tcPr>
            <w:tcW w:w="6367"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“单位名称”必须填写</w:t>
            </w:r>
            <w:r>
              <w:rPr>
                <w:rFonts w:hint="eastAsia" w:ascii="宋体" w:hAnsi="宋体" w:eastAsia="宋体" w:cs="宋体"/>
                <w:b/>
                <w:bCs/>
                <w:color w:val="000000" w:themeColor="text1"/>
                <w:sz w:val="24"/>
                <w:szCs w:val="24"/>
                <w14:textFill>
                  <w14:solidFill>
                    <w14:schemeClr w14:val="tx1"/>
                  </w14:solidFill>
                </w14:textFill>
              </w:rPr>
              <w:t>单位全称</w:t>
            </w:r>
            <w:r>
              <w:rPr>
                <w:rFonts w:hint="eastAsia" w:ascii="宋体" w:hAnsi="宋体" w:eastAsia="宋体" w:cs="宋体"/>
                <w:color w:val="000000" w:themeColor="text1"/>
                <w:sz w:val="24"/>
                <w:szCs w:val="24"/>
                <w14:textFill>
                  <w14:solidFill>
                    <w14:schemeClr w14:val="tx1"/>
                  </w14:solidFill>
                </w14:textFill>
              </w:rPr>
              <w:t>（与社保缴费单位一致）</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“单位代码”填写本单位统一社会信用代码</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其他栏目应</w:t>
            </w:r>
            <w:r>
              <w:rPr>
                <w:rFonts w:hint="eastAsia" w:ascii="宋体" w:hAnsi="宋体" w:eastAsia="宋体" w:cs="宋体"/>
                <w:b/>
                <w:bCs/>
                <w:color w:val="000000" w:themeColor="text1"/>
                <w:sz w:val="24"/>
                <w:szCs w:val="24"/>
                <w14:textFill>
                  <w14:solidFill>
                    <w14:schemeClr w14:val="tx1"/>
                  </w14:solidFill>
                </w14:textFill>
              </w:rPr>
              <w:t>全部填写</w:t>
            </w:r>
            <w:r>
              <w:rPr>
                <w:rFonts w:hint="eastAsia" w:ascii="宋体" w:hAnsi="宋体" w:eastAsia="宋体" w:cs="宋体"/>
                <w:color w:val="000000" w:themeColor="text1"/>
                <w:sz w:val="24"/>
                <w:szCs w:val="24"/>
                <w14:textFill>
                  <w14:solidFill>
                    <w14:schemeClr w14:val="tx1"/>
                  </w14:solidFill>
                </w14:textFill>
              </w:rPr>
              <w:t>且确保与</w:t>
            </w:r>
            <w:r>
              <w:rPr>
                <w:rFonts w:hint="eastAsia" w:ascii="宋体" w:hAnsi="宋体" w:eastAsia="宋体" w:cs="宋体"/>
                <w:b/>
                <w:bCs/>
                <w:color w:val="000000" w:themeColor="text1"/>
                <w:sz w:val="24"/>
                <w:szCs w:val="24"/>
                <w14:textFill>
                  <w14:solidFill>
                    <w14:schemeClr w14:val="tx1"/>
                  </w14:solidFill>
                </w14:textFill>
              </w:rPr>
              <w:t>纸质</w:t>
            </w:r>
            <w:r>
              <w:rPr>
                <w:rFonts w:hint="eastAsia" w:ascii="宋体" w:hAnsi="宋体" w:eastAsia="宋体" w:cs="宋体"/>
                <w:color w:val="000000" w:themeColor="text1"/>
                <w:sz w:val="24"/>
                <w:szCs w:val="24"/>
                <w14:textFill>
                  <w14:solidFill>
                    <w14:schemeClr w14:val="tx1"/>
                  </w14:solidFill>
                </w14:textFill>
              </w:rPr>
              <w:t>材料的内容</w:t>
            </w:r>
            <w:r>
              <w:rPr>
                <w:rFonts w:hint="eastAsia" w:ascii="宋体" w:hAnsi="宋体" w:eastAsia="宋体" w:cs="宋体"/>
                <w:b/>
                <w:bCs/>
                <w:color w:val="000000" w:themeColor="text1"/>
                <w:sz w:val="24"/>
                <w:szCs w:val="24"/>
                <w14:textFill>
                  <w14:solidFill>
                    <w14:schemeClr w14:val="tx1"/>
                  </w14:solidFill>
                </w14:textFill>
              </w:rPr>
              <w:t>完全一致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若空缺，评委会和专家在评审时将视此项为“无”。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“学习经历”栏</w:t>
            </w:r>
          </w:p>
        </w:tc>
        <w:tc>
          <w:tcPr>
            <w:tcW w:w="636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学历应从高中填起（高中学历证书遗失，本人提供说明（说明就读学校和时间等信息或提供高中成绩单汇总））；</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学历及学位证书直接上传到</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“学习经历”栏</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对应的“相关附件”。同时取得学历学位的，将学历学位证书</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合并扫描</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成一个</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PDF</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文件上传。</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在职获得专业硕士学位证书且无研究生学历证书的申报人，其基本信息栏的“学历”一栏应按照本人所持有的</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最高学历</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证书填写。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4</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“工作经历”栏</w:t>
            </w:r>
          </w:p>
        </w:tc>
        <w:tc>
          <w:tcPr>
            <w:tcW w:w="6367" w:type="dxa"/>
            <w:vAlign w:val="center"/>
          </w:tcPr>
          <w:p>
            <w:pPr>
              <w:numPr>
                <w:ilvl w:val="0"/>
                <w:numId w:val="3"/>
              </w:numPr>
              <w:adjustRightInd w:val="0"/>
              <w:snapToGrid w:val="0"/>
              <w:spacing w:line="240" w:lineRule="auto"/>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“单位及部门”填至</w:t>
            </w:r>
            <w:r>
              <w:rPr>
                <w:rFonts w:hint="eastAsia" w:ascii="宋体" w:hAnsi="宋体" w:eastAsia="宋体" w:cs="宋体"/>
                <w:b/>
                <w:bCs/>
                <w:color w:val="000000" w:themeColor="text1"/>
                <w:sz w:val="24"/>
                <w:szCs w:val="24"/>
                <w14:textFill>
                  <w14:solidFill>
                    <w14:schemeClr w14:val="tx1"/>
                  </w14:solidFill>
                </w14:textFill>
              </w:rPr>
              <w:t>部门</w:t>
            </w:r>
            <w:r>
              <w:rPr>
                <w:rFonts w:hint="eastAsia" w:ascii="宋体" w:hAnsi="宋体" w:eastAsia="宋体" w:cs="宋体"/>
                <w:b/>
                <w:bCs/>
                <w:color w:val="000000" w:themeColor="text1"/>
                <w:sz w:val="24"/>
                <w:szCs w:val="24"/>
                <w:lang w:eastAsia="zh-CN"/>
                <w14:textFill>
                  <w14:solidFill>
                    <w14:schemeClr w14:val="tx1"/>
                  </w14:solidFill>
                </w14:textFill>
              </w:rPr>
              <w:t>；</w:t>
            </w:r>
          </w:p>
          <w:p>
            <w:pPr>
              <w:numPr>
                <w:ilvl w:val="0"/>
                <w:numId w:val="3"/>
              </w:numPr>
              <w:adjustRightInd w:val="0"/>
              <w:snapToGrid w:val="0"/>
              <w:spacing w:line="240" w:lineRule="auto"/>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所有填写栏目信息完整</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3"/>
              </w:numPr>
              <w:adjustRightInd w:val="0"/>
              <w:snapToGrid w:val="0"/>
              <w:spacing w:line="240" w:lineRule="auto"/>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“岗位”名称按</w:t>
            </w:r>
            <w:r>
              <w:rPr>
                <w:rFonts w:hint="eastAsia" w:ascii="宋体" w:hAnsi="宋体" w:eastAsia="宋体" w:cs="宋体"/>
                <w:b/>
                <w:bCs/>
                <w:color w:val="000000" w:themeColor="text1"/>
                <w:sz w:val="24"/>
                <w:szCs w:val="24"/>
                <w14:textFill>
                  <w14:solidFill>
                    <w14:schemeClr w14:val="tx1"/>
                  </w14:solidFill>
                </w14:textFill>
              </w:rPr>
              <w:t>岗位聘书</w:t>
            </w:r>
            <w:r>
              <w:rPr>
                <w:rFonts w:hint="eastAsia" w:ascii="宋体" w:hAnsi="宋体" w:eastAsia="宋体" w:cs="宋体"/>
                <w:color w:val="000000" w:themeColor="text1"/>
                <w:sz w:val="24"/>
                <w:szCs w:val="24"/>
                <w14:textFill>
                  <w14:solidFill>
                    <w14:schemeClr w14:val="tx1"/>
                  </w14:solidFill>
                </w14:textFill>
              </w:rPr>
              <w:t>中岗位信息填写，“相关附件”中须上传与</w:t>
            </w:r>
            <w:r>
              <w:rPr>
                <w:rFonts w:hint="eastAsia" w:ascii="宋体" w:hAnsi="宋体" w:eastAsia="宋体" w:cs="宋体"/>
                <w:b/>
                <w:bCs/>
                <w:color w:val="000000" w:themeColor="text1"/>
                <w:sz w:val="24"/>
                <w:szCs w:val="24"/>
                <w14:textFill>
                  <w14:solidFill>
                    <w14:schemeClr w14:val="tx1"/>
                  </w14:solidFill>
                </w14:textFill>
              </w:rPr>
              <w:t>岗位对应</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b/>
                <w:bCs/>
                <w:color w:val="000000" w:themeColor="text1"/>
                <w:sz w:val="24"/>
                <w:szCs w:val="24"/>
                <w14:textFill>
                  <w14:solidFill>
                    <w14:schemeClr w14:val="tx1"/>
                  </w14:solidFill>
                </w14:textFill>
              </w:rPr>
              <w:t>职称聘任</w:t>
            </w:r>
            <w:r>
              <w:rPr>
                <w:rFonts w:hint="eastAsia" w:ascii="宋体" w:hAnsi="宋体" w:eastAsia="宋体" w:cs="宋体"/>
                <w:color w:val="000000" w:themeColor="text1"/>
                <w:sz w:val="24"/>
                <w:szCs w:val="24"/>
                <w14:textFill>
                  <w14:solidFill>
                    <w14:schemeClr w14:val="tx1"/>
                  </w14:solidFill>
                </w14:textFill>
              </w:rPr>
              <w:t>材料（岗位聘书或聘任表）。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5</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“工作业绩”栏</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个人工作业绩填写后，请将该文的</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word版</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也上传至</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该栏</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的“附件”中，以便专家评阅查看。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6</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“项目情况”栏</w:t>
            </w:r>
          </w:p>
        </w:tc>
        <w:tc>
          <w:tcPr>
            <w:tcW w:w="636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工程系列评审中项目情况是考察申报者工作业绩的</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重要依据</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，因此项目情况是</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必填</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的内容（不能为空）；</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填写的工程项目必须是取得</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中级</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工程师</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以后</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完成的项目，立项单位、项目经费等</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所有内容</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都必须填写</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完整；</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需提交的附件内容包含项目立项报告、验收报告、获奖证书等（可打包成一个压缩文件提交）；</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项目论证</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结论</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填写时必须与验收报告结论相</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一致</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，并提供相应证明材料，“国际先进”、“国内领先”等相应级别应提供相应证书、查新报告等。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7</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“论文著作”栏</w:t>
            </w:r>
          </w:p>
        </w:tc>
        <w:tc>
          <w:tcPr>
            <w:tcW w:w="6367"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排名</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用1/1或1/3格式填写（第1作者/合著者人数）；</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非第一作者文章请勿填报；</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个人</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技术工作</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总结</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应提供：该项目资料、本人</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独立</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撰写的项目工作总结、两位</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同专业</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专家推荐意见（请见附件三“技术工作总结同行专家评价/推荐意见表”）、专家</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正高</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证书、单位对项目角色和独立撰写的证明。</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4、需上传发表期刊封面、目录、论文正文页（PDF扫描件及论文word版），</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打包</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成一个文件作为论文附件上传。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“专利、课题”栏</w:t>
            </w:r>
          </w:p>
        </w:tc>
        <w:tc>
          <w:tcPr>
            <w:tcW w:w="636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填写的专利须为</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已授权</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专利，处于受理或公示阶段的专利都不作为评审依据，请勿填写。</w:t>
            </w:r>
          </w:p>
          <w:p>
            <w:pPr>
              <w:keepNext w:val="0"/>
              <w:keepLines w:val="0"/>
              <w:pageBreakBefore w:val="0"/>
              <w:widowControl w:val="0"/>
              <w:numPr>
                <w:ilvl w:val="0"/>
                <w:numId w:val="6"/>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专利须提供国家专利局颁发的专利</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授权证书</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，编号为ZL......。</w:t>
            </w:r>
          </w:p>
          <w:p>
            <w:pPr>
              <w:keepNext w:val="0"/>
              <w:keepLines w:val="0"/>
              <w:pageBreakBefore w:val="0"/>
              <w:widowControl w:val="0"/>
              <w:numPr>
                <w:ilvl w:val="0"/>
                <w:numId w:val="6"/>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以发明专利进行</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学历破格</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者须提供</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第三方</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（专利使用方）出具专利</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应用</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情况</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证明</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9</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“单位意见”栏</w:t>
            </w:r>
          </w:p>
        </w:tc>
        <w:tc>
          <w:tcPr>
            <w:tcW w:w="6367"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申报人在网上材料填写完整后由</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系统生成</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申报表，其中将单位审核意见交由单位</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人事部门</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审核盖章，并将</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该页</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的清晰图片上传到</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单位意见栏</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同时，申报人需将</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整份</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申报表（包含单位审核意见盖章和个人承诺签名）导出形成</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完整PDF</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文件，上传至</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附件资料栏</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事业单位申报</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事业单位的申报人必须提供事业单位缺额申报的证明，并由本单位人事部门和上一级（局级）人事部门的盖章确认。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11</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“附件资料”栏</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主要提供职称资格证书、各类职业（执业）资格证书、奖励证书、继续教育证书、业绩考核、</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评定申报表</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或其它需要提交的材料等。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职称外语和计算机应用能力</w:t>
            </w:r>
          </w:p>
        </w:tc>
        <w:tc>
          <w:tcPr>
            <w:tcW w:w="636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职称外语和计算机应用能力考试成绩不作为申报本评委会的前置条件。职称外语和计算机应用能力考试合格证书为非必需提供的材料，由申报人</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自愿提供</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8"/>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申报人如有能证明自己外语水平材料和计算机能力水平的材料(可提供材料范围请见本年度评审通知</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附件四</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，且在五年内）可自愿提供，供专家在评审时</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参考</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。证明材料请压缩打包后上传至</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“附件资料”</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jc w:val="center"/>
        </w:trPr>
        <w:tc>
          <w:tcPr>
            <w:tcW w:w="1006"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04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网上填报要求</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636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申报人在网上申报时，应尽可能地将所有申报信息填写完整，并确保与</w:t>
            </w:r>
            <w:r>
              <w:rPr>
                <w:rFonts w:hint="eastAsia" w:ascii="宋体" w:hAnsi="宋体" w:eastAsia="宋体" w:cs="宋体"/>
                <w:b/>
                <w:bCs/>
                <w:color w:val="000000" w:themeColor="text1"/>
                <w:sz w:val="24"/>
                <w:szCs w:val="24"/>
                <w14:textFill>
                  <w14:solidFill>
                    <w14:schemeClr w14:val="tx1"/>
                  </w14:solidFill>
                </w14:textFill>
              </w:rPr>
              <w:t>纸质</w:t>
            </w:r>
            <w:r>
              <w:rPr>
                <w:rFonts w:hint="eastAsia" w:ascii="宋体" w:hAnsi="宋体" w:eastAsia="宋体" w:cs="宋体"/>
                <w:color w:val="000000" w:themeColor="text1"/>
                <w:sz w:val="24"/>
                <w:szCs w:val="24"/>
                <w14:textFill>
                  <w14:solidFill>
                    <w14:schemeClr w14:val="tx1"/>
                  </w14:solidFill>
                </w14:textFill>
              </w:rPr>
              <w:t>材料的内容完全</w:t>
            </w:r>
            <w:r>
              <w:rPr>
                <w:rFonts w:hint="eastAsia" w:ascii="宋体" w:hAnsi="宋体" w:eastAsia="宋体" w:cs="宋体"/>
                <w:b/>
                <w:bCs/>
                <w:color w:val="000000" w:themeColor="text1"/>
                <w:sz w:val="24"/>
                <w:szCs w:val="24"/>
                <w14:textFill>
                  <w14:solidFill>
                    <w14:schemeClr w14:val="tx1"/>
                  </w14:solidFill>
                </w14:textFill>
              </w:rPr>
              <w:t>一致</w:t>
            </w:r>
            <w:r>
              <w:rPr>
                <w:rFonts w:hint="eastAsia" w:ascii="宋体" w:hAnsi="宋体" w:eastAsia="宋体" w:cs="宋体"/>
                <w:color w:val="000000" w:themeColor="text1"/>
                <w:sz w:val="24"/>
                <w:szCs w:val="24"/>
                <w14:textFill>
                  <w14:solidFill>
                    <w14:schemeClr w14:val="tx1"/>
                  </w14:solidFill>
                </w14:textFill>
              </w:rPr>
              <w:t>，专家评审时以</w:t>
            </w:r>
            <w:r>
              <w:rPr>
                <w:rFonts w:hint="eastAsia" w:ascii="宋体" w:hAnsi="宋体" w:eastAsia="宋体" w:cs="宋体"/>
                <w:b/>
                <w:bCs/>
                <w:color w:val="000000" w:themeColor="text1"/>
                <w:sz w:val="24"/>
                <w:szCs w:val="24"/>
                <w14:textFill>
                  <w14:solidFill>
                    <w14:schemeClr w14:val="tx1"/>
                  </w14:solidFill>
                </w14:textFill>
              </w:rPr>
              <w:t>网上</w:t>
            </w:r>
            <w:r>
              <w:rPr>
                <w:rFonts w:hint="eastAsia" w:ascii="宋体" w:hAnsi="宋体" w:eastAsia="宋体" w:cs="宋体"/>
                <w:color w:val="000000" w:themeColor="text1"/>
                <w:sz w:val="24"/>
                <w:szCs w:val="24"/>
                <w14:textFill>
                  <w14:solidFill>
                    <w14:schemeClr w14:val="tx1"/>
                  </w14:solidFill>
                </w14:textFill>
              </w:rPr>
              <w:t>上传材料内容</w:t>
            </w:r>
            <w:r>
              <w:rPr>
                <w:rFonts w:hint="eastAsia" w:ascii="宋体" w:hAnsi="宋体" w:eastAsia="宋体" w:cs="宋体"/>
                <w:b/>
                <w:bCs/>
                <w:color w:val="000000" w:themeColor="text1"/>
                <w:sz w:val="24"/>
                <w:szCs w:val="24"/>
                <w14:textFill>
                  <w14:solidFill>
                    <w14:schemeClr w14:val="tx1"/>
                  </w14:solidFill>
                </w14:textFill>
              </w:rPr>
              <w:t>为准</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numPr>
                <w:ilvl w:val="0"/>
                <w:numId w:val="9"/>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本人填报论文、项目、专利、获奖等情况应与工作业绩自述及单位核实意见、提供附件</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完全一致</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9"/>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申报人务必在</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基本信息</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页面的备注中留下本人</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可联系</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的</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手机号</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，便于评委会联系。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9" w:hRule="atLeast"/>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636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申报人完成第一次提交后，要</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经常</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登录申报系统</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查看</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评审进程，若出现评委会退回情况（本年度递交申报材料的及时准确性和材料完整性将作为评审量化评价指标之一），请</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抓紧</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根据评委会提出的修改、补充材料要求进行</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修改</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，并勿忘修改后</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再次</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提交。</w:t>
            </w:r>
          </w:p>
          <w:p>
            <w:pPr>
              <w:keepNext w:val="0"/>
              <w:keepLines w:val="0"/>
              <w:pageBreakBefore w:val="0"/>
              <w:widowControl w:val="0"/>
              <w:numPr>
                <w:ilvl w:val="0"/>
                <w:numId w:val="10"/>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未在评委会通知日期前完成修改并提交，视为放弃今年评审。</w:t>
            </w:r>
          </w:p>
          <w:p>
            <w:pPr>
              <w:keepNext w:val="0"/>
              <w:keepLines w:val="0"/>
              <w:pageBreakBefore w:val="0"/>
              <w:widowControl w:val="0"/>
              <w:numPr>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3、网上信息修改完毕，应重新生成评定申报表，填写审核意见并盖章，并将完整的评定申报表（包含单位审核意见盖章和个人承诺签名）导出形成一个PDF文件，彩色扫描后上传至“附件资料”栏。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14</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提交纸质申报材料及核实的处理步骤</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评委会在审核材料通过后，会赋予申报人一个</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受理号</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（评委会将通过申报</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平台</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向申报人发送</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短信</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通知），申报人在收到受理号后：</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第一步：按照评审通知中的账号，通过网上银行或银行柜台等将</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评审费</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向评委会专户进行付款（切记一定要在付款的</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留言</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中写上</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受理号</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和申报人</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姓名</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），并截屏、打印</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付款凭证</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保留。</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第二步：请</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回复</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评委会的短信，内容为“</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评审费已付</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第三步：按照评审通知附件中</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材料目录</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要求准备好纸质材料，等待评委会的材料提交通知。</w:t>
            </w:r>
            <w:bookmarkStart w:id="0" w:name="_GoBack"/>
            <w:bookmarkEnd w:id="0"/>
          </w:p>
        </w:tc>
      </w:tr>
    </w:tbl>
    <w:p>
      <w:pPr>
        <w:spacing w:line="460" w:lineRule="exact"/>
        <w:ind w:firstLine="643" w:firstLineChars="200"/>
        <w:jc w:val="center"/>
        <w:rPr>
          <w:rFonts w:hint="eastAsia" w:ascii="Calibri" w:hAnsi="Calibri" w:eastAsia="宋体" w:cs="Times New Roman"/>
          <w:b/>
          <w:bCs/>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61B33"/>
    <w:multiLevelType w:val="singleLevel"/>
    <w:tmpl w:val="8CA61B33"/>
    <w:lvl w:ilvl="0" w:tentative="0">
      <w:start w:val="1"/>
      <w:numFmt w:val="decimal"/>
      <w:suff w:val="nothing"/>
      <w:lvlText w:val="%1、"/>
      <w:lvlJc w:val="left"/>
    </w:lvl>
  </w:abstractNum>
  <w:abstractNum w:abstractNumId="1">
    <w:nsid w:val="96F98CDF"/>
    <w:multiLevelType w:val="singleLevel"/>
    <w:tmpl w:val="96F98CDF"/>
    <w:lvl w:ilvl="0" w:tentative="0">
      <w:start w:val="1"/>
      <w:numFmt w:val="decimal"/>
      <w:suff w:val="nothing"/>
      <w:lvlText w:val="%1、"/>
      <w:lvlJc w:val="left"/>
    </w:lvl>
  </w:abstractNum>
  <w:abstractNum w:abstractNumId="2">
    <w:nsid w:val="980CF672"/>
    <w:multiLevelType w:val="singleLevel"/>
    <w:tmpl w:val="980CF672"/>
    <w:lvl w:ilvl="0" w:tentative="0">
      <w:start w:val="1"/>
      <w:numFmt w:val="decimal"/>
      <w:suff w:val="nothing"/>
      <w:lvlText w:val="%1、"/>
      <w:lvlJc w:val="left"/>
    </w:lvl>
  </w:abstractNum>
  <w:abstractNum w:abstractNumId="3">
    <w:nsid w:val="A37D703C"/>
    <w:multiLevelType w:val="singleLevel"/>
    <w:tmpl w:val="A37D703C"/>
    <w:lvl w:ilvl="0" w:tentative="0">
      <w:start w:val="1"/>
      <w:numFmt w:val="decimal"/>
      <w:suff w:val="nothing"/>
      <w:lvlText w:val="%1、"/>
      <w:lvlJc w:val="left"/>
    </w:lvl>
  </w:abstractNum>
  <w:abstractNum w:abstractNumId="4">
    <w:nsid w:val="CE46A7AA"/>
    <w:multiLevelType w:val="singleLevel"/>
    <w:tmpl w:val="CE46A7AA"/>
    <w:lvl w:ilvl="0" w:tentative="0">
      <w:start w:val="1"/>
      <w:numFmt w:val="decimal"/>
      <w:suff w:val="nothing"/>
      <w:lvlText w:val="%1、"/>
      <w:lvlJc w:val="left"/>
    </w:lvl>
  </w:abstractNum>
  <w:abstractNum w:abstractNumId="5">
    <w:nsid w:val="0800D595"/>
    <w:multiLevelType w:val="singleLevel"/>
    <w:tmpl w:val="0800D595"/>
    <w:lvl w:ilvl="0" w:tentative="0">
      <w:start w:val="1"/>
      <w:numFmt w:val="decimal"/>
      <w:suff w:val="nothing"/>
      <w:lvlText w:val="%1、"/>
      <w:lvlJc w:val="left"/>
    </w:lvl>
  </w:abstractNum>
  <w:abstractNum w:abstractNumId="6">
    <w:nsid w:val="1CF18E42"/>
    <w:multiLevelType w:val="singleLevel"/>
    <w:tmpl w:val="1CF18E42"/>
    <w:lvl w:ilvl="0" w:tentative="0">
      <w:start w:val="1"/>
      <w:numFmt w:val="decimal"/>
      <w:suff w:val="nothing"/>
      <w:lvlText w:val="%1、"/>
      <w:lvlJc w:val="left"/>
    </w:lvl>
  </w:abstractNum>
  <w:abstractNum w:abstractNumId="7">
    <w:nsid w:val="274372B9"/>
    <w:multiLevelType w:val="singleLevel"/>
    <w:tmpl w:val="274372B9"/>
    <w:lvl w:ilvl="0" w:tentative="0">
      <w:start w:val="1"/>
      <w:numFmt w:val="decimal"/>
      <w:suff w:val="nothing"/>
      <w:lvlText w:val="%1、"/>
      <w:lvlJc w:val="left"/>
    </w:lvl>
  </w:abstractNum>
  <w:abstractNum w:abstractNumId="8">
    <w:nsid w:val="6EB7AB23"/>
    <w:multiLevelType w:val="singleLevel"/>
    <w:tmpl w:val="6EB7AB23"/>
    <w:lvl w:ilvl="0" w:tentative="0">
      <w:start w:val="1"/>
      <w:numFmt w:val="decimal"/>
      <w:suff w:val="nothing"/>
      <w:lvlText w:val="%1、"/>
      <w:lvlJc w:val="left"/>
    </w:lvl>
  </w:abstractNum>
  <w:abstractNum w:abstractNumId="9">
    <w:nsid w:val="793F3A84"/>
    <w:multiLevelType w:val="singleLevel"/>
    <w:tmpl w:val="793F3A84"/>
    <w:lvl w:ilvl="0" w:tentative="0">
      <w:start w:val="1"/>
      <w:numFmt w:val="decimal"/>
      <w:suff w:val="nothing"/>
      <w:lvlText w:val="%1、"/>
      <w:lvlJc w:val="left"/>
    </w:lvl>
  </w:abstractNum>
  <w:num w:numId="1">
    <w:abstractNumId w:val="3"/>
  </w:num>
  <w:num w:numId="2">
    <w:abstractNumId w:val="9"/>
  </w:num>
  <w:num w:numId="3">
    <w:abstractNumId w:val="6"/>
  </w:num>
  <w:num w:numId="4">
    <w:abstractNumId w:val="0"/>
  </w:num>
  <w:num w:numId="5">
    <w:abstractNumId w:val="2"/>
  </w:num>
  <w:num w:numId="6">
    <w:abstractNumId w:val="8"/>
  </w:num>
  <w:num w:numId="7">
    <w:abstractNumId w:val="7"/>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F3344"/>
    <w:rsid w:val="06BC7667"/>
    <w:rsid w:val="076659EF"/>
    <w:rsid w:val="0AAC13A8"/>
    <w:rsid w:val="0C274DE7"/>
    <w:rsid w:val="0DE208F3"/>
    <w:rsid w:val="16F42317"/>
    <w:rsid w:val="19036776"/>
    <w:rsid w:val="199B6183"/>
    <w:rsid w:val="1BAC1CEB"/>
    <w:rsid w:val="20096C3E"/>
    <w:rsid w:val="203D40A1"/>
    <w:rsid w:val="243555BF"/>
    <w:rsid w:val="27752530"/>
    <w:rsid w:val="27ED3195"/>
    <w:rsid w:val="2A683A91"/>
    <w:rsid w:val="2E71611D"/>
    <w:rsid w:val="30AC78B3"/>
    <w:rsid w:val="34F7080B"/>
    <w:rsid w:val="367A12BD"/>
    <w:rsid w:val="39CD21B5"/>
    <w:rsid w:val="3DAE667C"/>
    <w:rsid w:val="3FB43036"/>
    <w:rsid w:val="41AB54C4"/>
    <w:rsid w:val="47A8001B"/>
    <w:rsid w:val="484D4D90"/>
    <w:rsid w:val="48DD444C"/>
    <w:rsid w:val="4C857718"/>
    <w:rsid w:val="4F9C53B9"/>
    <w:rsid w:val="50514E23"/>
    <w:rsid w:val="534229D4"/>
    <w:rsid w:val="53B820F5"/>
    <w:rsid w:val="583F3344"/>
    <w:rsid w:val="5BD35B69"/>
    <w:rsid w:val="5E507C7B"/>
    <w:rsid w:val="61383F9B"/>
    <w:rsid w:val="65D34773"/>
    <w:rsid w:val="7244480F"/>
    <w:rsid w:val="74EE566A"/>
    <w:rsid w:val="7726261B"/>
    <w:rsid w:val="77FD3ED5"/>
    <w:rsid w:val="7A943FD3"/>
    <w:rsid w:val="7E6A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2022-06-15T10:14:00Z</dcterms:created>
  <dc:creator>Administrator</dc:creator>
  <cp:lastModifiedBy>Administrator</cp:lastModifiedBy>
  <dcterms:modified xsi:type="dcterms:W3CDTF">2023-04-28T05:42:49Z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