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附件一：</w:t>
      </w:r>
    </w:p>
    <w:p>
      <w:pPr>
        <w:spacing w:afterLines="150"/>
        <w:jc w:val="center"/>
        <w:outlineLvl w:val="0"/>
        <w:rPr>
          <w:rFonts w:ascii="仿宋" w:hAnsi="仿宋" w:eastAsia="仿宋" w:cs="仿宋"/>
          <w:b/>
          <w:spacing w:val="4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Style w:val="2"/>
        <w:tblW w:w="97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身份证号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17" w:firstLineChars="49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获得专业技术职务资格名称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现在聘任专业技术职务名称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8"/>
              </w:rPr>
              <w:t>近三年考核结果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2019</w:t>
            </w: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2020</w:t>
            </w: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考核单位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若采用百分制或等级制的单位，请在此处对评价等级进行说明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现工作单位考核推荐意见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对专业理论与技术知识、本专业国内外现状和发展趋势的掌握情况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66FE"/>
    <w:multiLevelType w:val="multilevel"/>
    <w:tmpl w:val="542C66F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2022-06-15T06:23:51Z</dcterms:created>
  <dc:creator>Administrator</dc:creator>
  <cp:lastModifiedBy>Administrator</cp:lastModifiedBy>
  <dcterms:modified xsi:type="dcterms:W3CDTF">2022-06-15T06:24:39Z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